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6335F" w14:textId="77777777" w:rsidR="005B1E6F" w:rsidRPr="00023B70" w:rsidRDefault="008C04CA" w:rsidP="00777FC6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023B70">
        <w:rPr>
          <w:rFonts w:ascii="Times New Roman" w:hAnsi="Times New Roman" w:cs="Times New Roman"/>
          <w:b/>
        </w:rPr>
        <w:t>Uzasadnienie</w:t>
      </w:r>
    </w:p>
    <w:p w14:paraId="1EED8A79" w14:textId="30FBB3EE" w:rsidR="008C04CA" w:rsidRPr="002E61AA" w:rsidRDefault="008C04CA" w:rsidP="002E61AA">
      <w:pPr>
        <w:spacing w:line="360" w:lineRule="auto"/>
        <w:ind w:firstLine="432"/>
        <w:jc w:val="both"/>
        <w:rPr>
          <w:rFonts w:ascii="Times New Roman" w:hAnsi="Times New Roman" w:cs="Times New Roman"/>
        </w:rPr>
      </w:pPr>
      <w:r w:rsidRPr="002E61AA">
        <w:rPr>
          <w:rFonts w:ascii="Times New Roman" w:hAnsi="Times New Roman" w:cs="Times New Roman"/>
        </w:rPr>
        <w:t>Studium uwarunkowań i kierunków zagospodarowania przestrzennego to dokument określający politykę przestrzenną gminy. Opracowany został zgodnie z przepisami Ustawy z dnia 8 marca o samorządzie gminnym  (Dz. U. z 2020</w:t>
      </w:r>
      <w:r w:rsidR="008912E6">
        <w:rPr>
          <w:rFonts w:ascii="Times New Roman" w:hAnsi="Times New Roman" w:cs="Times New Roman"/>
        </w:rPr>
        <w:t xml:space="preserve"> </w:t>
      </w:r>
      <w:r w:rsidRPr="002E61AA">
        <w:rPr>
          <w:rFonts w:ascii="Times New Roman" w:hAnsi="Times New Roman" w:cs="Times New Roman"/>
        </w:rPr>
        <w:t>r.</w:t>
      </w:r>
      <w:r w:rsidR="00047BFD">
        <w:rPr>
          <w:rFonts w:ascii="Times New Roman" w:hAnsi="Times New Roman" w:cs="Times New Roman"/>
        </w:rPr>
        <w:t>,</w:t>
      </w:r>
      <w:r w:rsidRPr="002E61AA">
        <w:rPr>
          <w:rFonts w:ascii="Times New Roman" w:hAnsi="Times New Roman" w:cs="Times New Roman"/>
        </w:rPr>
        <w:t xml:space="preserve"> poz. 713</w:t>
      </w:r>
      <w:r w:rsidR="00480299">
        <w:rPr>
          <w:rFonts w:ascii="Times New Roman" w:hAnsi="Times New Roman" w:cs="Times New Roman"/>
        </w:rPr>
        <w:t xml:space="preserve"> ze zm.</w:t>
      </w:r>
      <w:r w:rsidR="003A4994" w:rsidRPr="002E61AA">
        <w:rPr>
          <w:rFonts w:ascii="Times New Roman" w:hAnsi="Times New Roman" w:cs="Times New Roman"/>
        </w:rPr>
        <w:t>),</w:t>
      </w:r>
      <w:r w:rsidRPr="002E61AA">
        <w:rPr>
          <w:rFonts w:ascii="Times New Roman" w:hAnsi="Times New Roman" w:cs="Times New Roman"/>
        </w:rPr>
        <w:t xml:space="preserve"> przepisami ustawy z dnia 27 marca 2003</w:t>
      </w:r>
      <w:r w:rsidR="00FC2EC5">
        <w:rPr>
          <w:rFonts w:ascii="Times New Roman" w:hAnsi="Times New Roman" w:cs="Times New Roman"/>
        </w:rPr>
        <w:t xml:space="preserve"> </w:t>
      </w:r>
      <w:r w:rsidRPr="002E61AA">
        <w:rPr>
          <w:rFonts w:ascii="Times New Roman" w:hAnsi="Times New Roman" w:cs="Times New Roman"/>
        </w:rPr>
        <w:t>r. o planowaniu i zagospodarowaniu przestrzennym (Dz. U. z 2020</w:t>
      </w:r>
      <w:r w:rsidR="00100027">
        <w:rPr>
          <w:rFonts w:ascii="Times New Roman" w:hAnsi="Times New Roman" w:cs="Times New Roman"/>
        </w:rPr>
        <w:t xml:space="preserve"> </w:t>
      </w:r>
      <w:r w:rsidRPr="002E61AA">
        <w:rPr>
          <w:rFonts w:ascii="Times New Roman" w:hAnsi="Times New Roman" w:cs="Times New Roman"/>
        </w:rPr>
        <w:t xml:space="preserve">r. poz. 293) oraz w związku z realizacją uchwały Nr </w:t>
      </w:r>
      <w:r w:rsidRPr="002E61AA">
        <w:rPr>
          <w:rFonts w:ascii="Times New Roman" w:eastAsia="Batang" w:hAnsi="Times New Roman" w:cs="Times New Roman"/>
        </w:rPr>
        <w:t>XL/345/18</w:t>
      </w:r>
      <w:r w:rsidRPr="002E61AA">
        <w:rPr>
          <w:rFonts w:ascii="Times New Roman" w:hAnsi="Times New Roman" w:cs="Times New Roman"/>
        </w:rPr>
        <w:t xml:space="preserve"> Rady Gminy Dźwierzuty z dnia 19</w:t>
      </w:r>
      <w:r w:rsidRPr="002E61AA">
        <w:rPr>
          <w:rStyle w:val="Pogrubienie"/>
          <w:rFonts w:ascii="Times New Roman" w:eastAsia="Batang" w:hAnsi="Times New Roman" w:cs="Times New Roman"/>
        </w:rPr>
        <w:t xml:space="preserve"> </w:t>
      </w:r>
      <w:r w:rsidRPr="002E61AA">
        <w:rPr>
          <w:rStyle w:val="Pogrubienie"/>
          <w:rFonts w:ascii="Times New Roman" w:eastAsia="Batang" w:hAnsi="Times New Roman" w:cs="Times New Roman"/>
          <w:b w:val="0"/>
        </w:rPr>
        <w:t>lipca 2018</w:t>
      </w:r>
      <w:r w:rsidR="00733FDC">
        <w:rPr>
          <w:rStyle w:val="Pogrubienie"/>
          <w:rFonts w:ascii="Times New Roman" w:eastAsia="Batang" w:hAnsi="Times New Roman" w:cs="Times New Roman"/>
          <w:b w:val="0"/>
        </w:rPr>
        <w:t xml:space="preserve"> </w:t>
      </w:r>
      <w:r w:rsidRPr="002E61AA">
        <w:rPr>
          <w:rStyle w:val="Pogrubienie"/>
          <w:rFonts w:ascii="Times New Roman" w:eastAsia="Batang" w:hAnsi="Times New Roman" w:cs="Times New Roman"/>
          <w:b w:val="0"/>
        </w:rPr>
        <w:t>r.</w:t>
      </w:r>
      <w:r w:rsidRPr="002E61AA">
        <w:rPr>
          <w:rStyle w:val="Pogrubienie"/>
          <w:rFonts w:ascii="Times New Roman" w:eastAsia="Batang" w:hAnsi="Times New Roman" w:cs="Times New Roman"/>
        </w:rPr>
        <w:t xml:space="preserve"> </w:t>
      </w:r>
    </w:p>
    <w:p w14:paraId="19E5F7F6" w14:textId="77777777" w:rsidR="001F167F" w:rsidRDefault="001F167F" w:rsidP="001F167F">
      <w:pPr>
        <w:spacing w:line="360" w:lineRule="auto"/>
        <w:ind w:firstLine="432"/>
        <w:jc w:val="both"/>
        <w:rPr>
          <w:rFonts w:ascii="Times New Roman" w:hAnsi="Times New Roman" w:cs="Times New Roman"/>
        </w:rPr>
      </w:pPr>
      <w:r w:rsidRPr="001F167F">
        <w:rPr>
          <w:rFonts w:ascii="Times New Roman" w:hAnsi="Times New Roman" w:cs="Times New Roman"/>
        </w:rPr>
        <w:t>Studium uwarunkowań i kierunków zagospodarowania przestrzennego jest jednym z ważniejszych dokumentów planistycznych</w:t>
      </w:r>
      <w:r w:rsidR="00CE2A00">
        <w:rPr>
          <w:rFonts w:ascii="Times New Roman" w:hAnsi="Times New Roman" w:cs="Times New Roman"/>
        </w:rPr>
        <w:t xml:space="preserve"> w gminie</w:t>
      </w:r>
      <w:r w:rsidRPr="001F167F">
        <w:rPr>
          <w:rFonts w:ascii="Times New Roman" w:hAnsi="Times New Roman" w:cs="Times New Roman"/>
        </w:rPr>
        <w:t>. Sporządzane jest w celu określenia polityki przestrzennej, w tym lokalnych zasad zagospodarowania przestrzennego. Nie jest aktem prawa miejscowego, natomiast jego ustalenia są wiążące dla sporządzanych miejscow</w:t>
      </w:r>
      <w:r w:rsidR="00CE2A00">
        <w:rPr>
          <w:rFonts w:ascii="Times New Roman" w:hAnsi="Times New Roman" w:cs="Times New Roman"/>
        </w:rPr>
        <w:t>ych</w:t>
      </w:r>
      <w:r w:rsidRPr="001F167F">
        <w:rPr>
          <w:rFonts w:ascii="Times New Roman" w:hAnsi="Times New Roman" w:cs="Times New Roman"/>
        </w:rPr>
        <w:t xml:space="preserve"> plan</w:t>
      </w:r>
      <w:r w:rsidR="00CE2A00">
        <w:rPr>
          <w:rFonts w:ascii="Times New Roman" w:hAnsi="Times New Roman" w:cs="Times New Roman"/>
        </w:rPr>
        <w:t>ów</w:t>
      </w:r>
      <w:r w:rsidRPr="001F167F">
        <w:rPr>
          <w:rFonts w:ascii="Times New Roman" w:hAnsi="Times New Roman" w:cs="Times New Roman"/>
        </w:rPr>
        <w:t xml:space="preserve"> zagospodarowania przestrzennego, dzięki którym wizja zawarta w studium przekłada się na lokalne prawo i kształtuje rozwój gminy.</w:t>
      </w:r>
      <w:r>
        <w:rPr>
          <w:rFonts w:ascii="Times New Roman" w:hAnsi="Times New Roman" w:cs="Times New Roman"/>
        </w:rPr>
        <w:t xml:space="preserve"> </w:t>
      </w:r>
      <w:r w:rsidRPr="002E61AA">
        <w:rPr>
          <w:rFonts w:ascii="Times New Roman" w:hAnsi="Times New Roman" w:cs="Times New Roman"/>
        </w:rPr>
        <w:t>Studium określa kierunki rozwoju gminy, mając na uwadze dotychczasowe zagospodarowanie, uwarunkowania  przyrodnicze, kulturowe, społeczno-gospodarcze i infrastrukturalne.</w:t>
      </w:r>
    </w:p>
    <w:p w14:paraId="26664E18" w14:textId="77777777" w:rsidR="00404CD4" w:rsidRPr="002E61AA" w:rsidRDefault="00404CD4" w:rsidP="002E61AA">
      <w:pPr>
        <w:spacing w:line="360" w:lineRule="auto"/>
        <w:ind w:firstLine="360"/>
        <w:jc w:val="both"/>
        <w:rPr>
          <w:rFonts w:ascii="Times New Roman" w:hAnsi="Times New Roman" w:cs="Times New Roman"/>
          <w:bCs/>
        </w:rPr>
      </w:pPr>
      <w:r w:rsidRPr="002E61AA">
        <w:rPr>
          <w:rFonts w:ascii="Times New Roman" w:hAnsi="Times New Roman" w:cs="Times New Roman"/>
        </w:rPr>
        <w:t>Obowiązujący w gminie dokument studium uchwalany został w 2000</w:t>
      </w:r>
      <w:r w:rsidR="003A4994" w:rsidRPr="002E61AA">
        <w:rPr>
          <w:rFonts w:ascii="Times New Roman" w:hAnsi="Times New Roman" w:cs="Times New Roman"/>
        </w:rPr>
        <w:t xml:space="preserve"> </w:t>
      </w:r>
      <w:r w:rsidRPr="002E61AA">
        <w:rPr>
          <w:rFonts w:ascii="Times New Roman" w:hAnsi="Times New Roman" w:cs="Times New Roman"/>
        </w:rPr>
        <w:t xml:space="preserve">r., </w:t>
      </w:r>
      <w:r w:rsidR="006677C9" w:rsidRPr="002E61AA">
        <w:rPr>
          <w:rFonts w:ascii="Times New Roman" w:hAnsi="Times New Roman" w:cs="Times New Roman"/>
        </w:rPr>
        <w:t xml:space="preserve">z tego </w:t>
      </w:r>
      <w:r w:rsidRPr="002E61AA">
        <w:rPr>
          <w:rFonts w:ascii="Times New Roman" w:hAnsi="Times New Roman" w:cs="Times New Roman"/>
        </w:rPr>
        <w:t xml:space="preserve">względu zaistniała potrzeba opracowania </w:t>
      </w:r>
      <w:r w:rsidR="003A4994" w:rsidRPr="002E61AA">
        <w:rPr>
          <w:rFonts w:ascii="Times New Roman" w:hAnsi="Times New Roman" w:cs="Times New Roman"/>
        </w:rPr>
        <w:t xml:space="preserve">jego </w:t>
      </w:r>
      <w:r w:rsidRPr="002E61AA">
        <w:rPr>
          <w:rFonts w:ascii="Times New Roman" w:hAnsi="Times New Roman" w:cs="Times New Roman"/>
        </w:rPr>
        <w:t>zmiany</w:t>
      </w:r>
      <w:r w:rsidR="006677C9" w:rsidRPr="002E61AA">
        <w:rPr>
          <w:rFonts w:ascii="Times New Roman" w:hAnsi="Times New Roman" w:cs="Times New Roman"/>
        </w:rPr>
        <w:t>,</w:t>
      </w:r>
      <w:r w:rsidRPr="002E61AA">
        <w:rPr>
          <w:rFonts w:ascii="Times New Roman" w:hAnsi="Times New Roman" w:cs="Times New Roman"/>
        </w:rPr>
        <w:t xml:space="preserve"> </w:t>
      </w:r>
      <w:r w:rsidR="006677C9" w:rsidRPr="002E61AA">
        <w:rPr>
          <w:rFonts w:ascii="Times New Roman" w:hAnsi="Times New Roman" w:cs="Times New Roman"/>
        </w:rPr>
        <w:t>wynikają</w:t>
      </w:r>
      <w:r w:rsidR="003A4994" w:rsidRPr="002E61AA">
        <w:rPr>
          <w:rFonts w:ascii="Times New Roman" w:hAnsi="Times New Roman" w:cs="Times New Roman"/>
        </w:rPr>
        <w:t>ca</w:t>
      </w:r>
      <w:r w:rsidRPr="002E61AA">
        <w:rPr>
          <w:rFonts w:ascii="Times New Roman" w:hAnsi="Times New Roman" w:cs="Times New Roman"/>
        </w:rPr>
        <w:t xml:space="preserve"> zarówno z przesłanek formalnych, merytorycznych, jak i oczekiwań </w:t>
      </w:r>
      <w:r w:rsidR="006677C9" w:rsidRPr="002E61AA">
        <w:rPr>
          <w:rFonts w:ascii="Times New Roman" w:hAnsi="Times New Roman" w:cs="Times New Roman"/>
        </w:rPr>
        <w:t>mieszkańców,</w:t>
      </w:r>
      <w:r w:rsidRPr="002E61AA">
        <w:rPr>
          <w:rFonts w:ascii="Times New Roman" w:hAnsi="Times New Roman" w:cs="Times New Roman"/>
        </w:rPr>
        <w:t xml:space="preserve"> a także samej gminy</w:t>
      </w:r>
      <w:r w:rsidR="006677C9" w:rsidRPr="002E61AA">
        <w:rPr>
          <w:rFonts w:ascii="Times New Roman" w:hAnsi="Times New Roman" w:cs="Times New Roman"/>
        </w:rPr>
        <w:t>.</w:t>
      </w:r>
      <w:r w:rsidRPr="002E61AA">
        <w:rPr>
          <w:rFonts w:ascii="Times New Roman" w:hAnsi="Times New Roman" w:cs="Times New Roman"/>
        </w:rPr>
        <w:t xml:space="preserve"> Polityka przestrzenna w nowym dokumencie studium </w:t>
      </w:r>
      <w:r w:rsidRPr="002E61AA">
        <w:rPr>
          <w:rFonts w:ascii="Times New Roman" w:hAnsi="Times New Roman" w:cs="Times New Roman"/>
          <w:bCs/>
        </w:rPr>
        <w:t>dostosowan</w:t>
      </w:r>
      <w:r w:rsidR="006677C9" w:rsidRPr="002E61AA">
        <w:rPr>
          <w:rFonts w:ascii="Times New Roman" w:hAnsi="Times New Roman" w:cs="Times New Roman"/>
          <w:bCs/>
        </w:rPr>
        <w:t>a</w:t>
      </w:r>
      <w:r w:rsidRPr="002E61AA">
        <w:rPr>
          <w:rFonts w:ascii="Times New Roman" w:hAnsi="Times New Roman" w:cs="Times New Roman"/>
          <w:bCs/>
        </w:rPr>
        <w:t xml:space="preserve"> jest do obecnych potrze</w:t>
      </w:r>
      <w:r w:rsidR="006677C9" w:rsidRPr="002E61AA">
        <w:rPr>
          <w:rFonts w:ascii="Times New Roman" w:hAnsi="Times New Roman" w:cs="Times New Roman"/>
          <w:bCs/>
        </w:rPr>
        <w:t>b rozwoju gminy i wymogów prawa (w tym: w zakresie problematyki studium wynikającej z ustawy o planowaniu i zagospodarowaniu przestrzennym).</w:t>
      </w:r>
    </w:p>
    <w:p w14:paraId="3DCEAB43" w14:textId="77777777" w:rsidR="008A0D70" w:rsidRPr="002E61AA" w:rsidRDefault="008A0D70" w:rsidP="002E61AA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</w:rPr>
      </w:pPr>
      <w:r w:rsidRPr="002E61AA">
        <w:rPr>
          <w:rFonts w:ascii="Times New Roman" w:hAnsi="Times New Roman" w:cs="Times New Roman"/>
          <w:bCs/>
        </w:rPr>
        <w:t xml:space="preserve">Dokument </w:t>
      </w:r>
      <w:r w:rsidR="007B4996">
        <w:rPr>
          <w:rFonts w:ascii="Times New Roman" w:hAnsi="Times New Roman" w:cs="Times New Roman"/>
          <w:bCs/>
        </w:rPr>
        <w:t xml:space="preserve">studium </w:t>
      </w:r>
      <w:r w:rsidRPr="002E61AA">
        <w:rPr>
          <w:rFonts w:ascii="Times New Roman" w:hAnsi="Times New Roman" w:cs="Times New Roman"/>
          <w:bCs/>
        </w:rPr>
        <w:t>składa się z dwóch części</w:t>
      </w:r>
      <w:r w:rsidR="007B4996">
        <w:rPr>
          <w:rFonts w:ascii="Times New Roman" w:hAnsi="Times New Roman" w:cs="Times New Roman"/>
          <w:bCs/>
        </w:rPr>
        <w:t>.</w:t>
      </w:r>
    </w:p>
    <w:p w14:paraId="3C8CFA30" w14:textId="77777777" w:rsidR="008A0D70" w:rsidRPr="007B4996" w:rsidRDefault="007B4996" w:rsidP="00042F8C">
      <w:pPr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C</w:t>
      </w:r>
      <w:r w:rsidR="008A0D70" w:rsidRPr="007B4996">
        <w:rPr>
          <w:rFonts w:ascii="Times New Roman" w:hAnsi="Times New Roman"/>
          <w:bCs/>
        </w:rPr>
        <w:t xml:space="preserve">zęść I studium </w:t>
      </w:r>
      <w:r w:rsidR="002E61AA" w:rsidRPr="007B4996">
        <w:rPr>
          <w:rFonts w:ascii="Times New Roman" w:hAnsi="Times New Roman" w:cs="Times New Roman"/>
          <w:bCs/>
        </w:rPr>
        <w:t>w formie tekstowej</w:t>
      </w:r>
      <w:r w:rsidR="008A0D70" w:rsidRPr="007B4996">
        <w:rPr>
          <w:rFonts w:ascii="Times New Roman" w:hAnsi="Times New Roman" w:cs="Times New Roman"/>
          <w:bCs/>
        </w:rPr>
        <w:t xml:space="preserve"> </w:t>
      </w:r>
      <w:r w:rsidR="008A0D70" w:rsidRPr="007B4996">
        <w:rPr>
          <w:rFonts w:ascii="Times New Roman" w:hAnsi="Times New Roman"/>
          <w:bCs/>
        </w:rPr>
        <w:t>zawiera uwarunkowania zagospodarowania przestrzennego gminy, czyli opis czynników przyrodniczych, demograficznych, społecznych i ekonomicznych, kształtujący</w:t>
      </w:r>
      <w:r w:rsidR="002E61AA" w:rsidRPr="007B4996">
        <w:rPr>
          <w:rFonts w:ascii="Times New Roman" w:hAnsi="Times New Roman" w:cs="Times New Roman"/>
          <w:bCs/>
        </w:rPr>
        <w:t>ch  politykę przestrzenną gminy, co znajduje swoje odzwierciedlenie w części graficznej</w:t>
      </w:r>
      <w:r w:rsidR="00042F8C">
        <w:rPr>
          <w:rFonts w:ascii="Times New Roman" w:hAnsi="Times New Roman" w:cs="Times New Roman"/>
          <w:bCs/>
        </w:rPr>
        <w:t>.</w:t>
      </w:r>
    </w:p>
    <w:p w14:paraId="0766DCE8" w14:textId="77777777" w:rsidR="008A0D70" w:rsidRPr="00042F8C" w:rsidRDefault="00042F8C" w:rsidP="00042F8C">
      <w:pPr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W</w:t>
      </w:r>
      <w:r w:rsidR="008A0D70" w:rsidRPr="00042F8C">
        <w:rPr>
          <w:rFonts w:ascii="Times New Roman" w:hAnsi="Times New Roman"/>
          <w:bCs/>
        </w:rPr>
        <w:t xml:space="preserve"> części II, w oparciu o kryteria opisane w części uwarunkowań, określono kierunki i wskaźniki w zakresie przeznaczenia oraz sposobów zagospodarowania i użytkowania terenów gminy Dźwierzuty, określając tym sa</w:t>
      </w:r>
      <w:r w:rsidR="002E61AA" w:rsidRPr="00042F8C">
        <w:rPr>
          <w:rFonts w:ascii="Times New Roman" w:hAnsi="Times New Roman" w:cs="Times New Roman"/>
          <w:bCs/>
        </w:rPr>
        <w:t>mym politykę przestrzenną gminy, co również uwidoczniono w części graficznej.</w:t>
      </w:r>
    </w:p>
    <w:p w14:paraId="10355F1D" w14:textId="77777777" w:rsidR="001F167F" w:rsidRPr="00023B70" w:rsidRDefault="001F167F" w:rsidP="00023B70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 xml:space="preserve">Obszar gminy Dźwierzuty został podzielony na </w:t>
      </w:r>
      <w:r w:rsidR="00023B70" w:rsidRPr="00023B70">
        <w:rPr>
          <w:rFonts w:ascii="Times New Roman" w:hAnsi="Times New Roman" w:cs="Times New Roman"/>
        </w:rPr>
        <w:t>4</w:t>
      </w:r>
      <w:r w:rsidRPr="00023B70">
        <w:rPr>
          <w:rFonts w:ascii="Times New Roman" w:hAnsi="Times New Roman" w:cs="Times New Roman"/>
        </w:rPr>
        <w:t xml:space="preserve"> stref</w:t>
      </w:r>
      <w:r w:rsidR="00023B70" w:rsidRPr="00023B70">
        <w:rPr>
          <w:rFonts w:ascii="Times New Roman" w:hAnsi="Times New Roman" w:cs="Times New Roman"/>
        </w:rPr>
        <w:t>y</w:t>
      </w:r>
      <w:r w:rsidRPr="00023B70">
        <w:rPr>
          <w:rFonts w:ascii="Times New Roman" w:hAnsi="Times New Roman" w:cs="Times New Roman"/>
        </w:rPr>
        <w:t xml:space="preserve"> polityki przestrzennej, wyodrębnion</w:t>
      </w:r>
      <w:r w:rsidR="00CE2A00">
        <w:rPr>
          <w:rFonts w:ascii="Times New Roman" w:hAnsi="Times New Roman" w:cs="Times New Roman"/>
        </w:rPr>
        <w:t>e</w:t>
      </w:r>
      <w:r w:rsidRPr="00023B70">
        <w:rPr>
          <w:rFonts w:ascii="Times New Roman" w:hAnsi="Times New Roman" w:cs="Times New Roman"/>
        </w:rPr>
        <w:t xml:space="preserve"> ze względu na charakter środowiska przyrodniczego, stan zabudowy i zagospodarowania oraz wyposażenia terenów w infrastrukturę techniczną oraz naturalne warunki </w:t>
      </w:r>
      <w:proofErr w:type="spellStart"/>
      <w:r w:rsidRPr="00023B70">
        <w:rPr>
          <w:rFonts w:ascii="Times New Roman" w:hAnsi="Times New Roman" w:cs="Times New Roman"/>
        </w:rPr>
        <w:t>fizjograficzno</w:t>
      </w:r>
      <w:proofErr w:type="spellEnd"/>
      <w:r w:rsidRPr="00023B70">
        <w:rPr>
          <w:rFonts w:ascii="Times New Roman" w:hAnsi="Times New Roman" w:cs="Times New Roman"/>
        </w:rPr>
        <w:t xml:space="preserve"> – przyrodnicze. Wyróżniono następujące strefy: </w:t>
      </w:r>
    </w:p>
    <w:p w14:paraId="6A8EA32A" w14:textId="77777777" w:rsidR="001F167F" w:rsidRPr="00023B70" w:rsidRDefault="00023B70" w:rsidP="00023B70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>„I” Centralna,</w:t>
      </w:r>
    </w:p>
    <w:p w14:paraId="7D1674F8" w14:textId="77777777" w:rsidR="001F167F" w:rsidRPr="00023B70" w:rsidRDefault="00023B70" w:rsidP="00023B70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>„II” Krajobrazowa,</w:t>
      </w:r>
    </w:p>
    <w:p w14:paraId="619251D1" w14:textId="77777777" w:rsidR="001F167F" w:rsidRPr="00023B70" w:rsidRDefault="00023B70" w:rsidP="00023B70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>„III” Rolniczo-Gospodarcza,</w:t>
      </w:r>
    </w:p>
    <w:p w14:paraId="4559A55A" w14:textId="77777777" w:rsidR="001F167F" w:rsidRPr="00023B70" w:rsidRDefault="00733FDC" w:rsidP="00023B70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„IV” T</w:t>
      </w:r>
      <w:r w:rsidR="00023B70" w:rsidRPr="00023B70">
        <w:rPr>
          <w:rFonts w:ascii="Times New Roman" w:hAnsi="Times New Roman" w:cs="Times New Roman"/>
        </w:rPr>
        <w:t>urystyczna</w:t>
      </w:r>
      <w:r w:rsidR="00023B70">
        <w:rPr>
          <w:rFonts w:ascii="Times New Roman" w:hAnsi="Times New Roman" w:cs="Times New Roman"/>
        </w:rPr>
        <w:t>.</w:t>
      </w:r>
    </w:p>
    <w:p w14:paraId="1B295327" w14:textId="77777777" w:rsidR="00023B70" w:rsidRPr="00023B70" w:rsidRDefault="00023B70" w:rsidP="00CE2A00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lastRenderedPageBreak/>
        <w:t xml:space="preserve">W każdej z wyznaczonych stref polityk przestrzennej wyznaczono odpowiednie podstrefy charakteryzujące </w:t>
      </w:r>
      <w:r w:rsidR="00CE2A00">
        <w:rPr>
          <w:rFonts w:ascii="Times New Roman" w:hAnsi="Times New Roman" w:cs="Times New Roman"/>
        </w:rPr>
        <w:t>się odrębnymi funkcjami zabudowy.</w:t>
      </w:r>
      <w:r w:rsidRPr="00023B70">
        <w:rPr>
          <w:rFonts w:ascii="Times New Roman" w:hAnsi="Times New Roman" w:cs="Times New Roman"/>
        </w:rPr>
        <w:t xml:space="preserve"> Wyróżnia się cztery podstrefy :</w:t>
      </w:r>
    </w:p>
    <w:p w14:paraId="1B67B066" w14:textId="77777777" w:rsidR="00023B70" w:rsidRPr="00023B70" w:rsidRDefault="00023B70" w:rsidP="00CE2A00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>A1 – tereny zabudowy mieszkaniowej jednorodzinnej, wielorodzinnej, usługowej;</w:t>
      </w:r>
    </w:p>
    <w:p w14:paraId="73E6F97D" w14:textId="77777777" w:rsidR="00023B70" w:rsidRPr="00023B70" w:rsidRDefault="00023B70" w:rsidP="00CE2A00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>A –  tereny zabudowy mieszkaniowej jednorodzinnej i usługowej;</w:t>
      </w:r>
    </w:p>
    <w:p w14:paraId="7EFE38B4" w14:textId="77777777" w:rsidR="00023B70" w:rsidRPr="00023B70" w:rsidRDefault="00023B70" w:rsidP="00CE2A00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>B –  tereny zabudowy turystycznej;</w:t>
      </w:r>
    </w:p>
    <w:p w14:paraId="79D23AD0" w14:textId="77777777" w:rsidR="00023B70" w:rsidRPr="00023B70" w:rsidRDefault="00023B70" w:rsidP="00CE2A00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>C –  tereny skoncentrowanej działalności gospodarczej w tym produkcji.</w:t>
      </w:r>
    </w:p>
    <w:p w14:paraId="11272D49" w14:textId="77777777" w:rsidR="001F167F" w:rsidRPr="00023B70" w:rsidRDefault="001F167F" w:rsidP="001F167F">
      <w:pPr>
        <w:spacing w:before="120" w:line="360" w:lineRule="auto"/>
        <w:ind w:firstLine="360"/>
        <w:jc w:val="both"/>
        <w:rPr>
          <w:rFonts w:ascii="Times New Roman" w:hAnsi="Times New Roman" w:cs="Times New Roman"/>
        </w:rPr>
      </w:pPr>
      <w:r w:rsidRPr="00023B70">
        <w:rPr>
          <w:rFonts w:ascii="Times New Roman" w:hAnsi="Times New Roman" w:cs="Times New Roman"/>
        </w:rPr>
        <w:t>Poszczególnym teren</w:t>
      </w:r>
      <w:r w:rsidR="00023B70" w:rsidRPr="00023B70">
        <w:rPr>
          <w:rFonts w:ascii="Times New Roman" w:hAnsi="Times New Roman" w:cs="Times New Roman"/>
        </w:rPr>
        <w:t>om</w:t>
      </w:r>
      <w:r w:rsidRPr="00023B70">
        <w:rPr>
          <w:rFonts w:ascii="Times New Roman" w:hAnsi="Times New Roman" w:cs="Times New Roman"/>
        </w:rPr>
        <w:t xml:space="preserve"> przypisane zostały odpowiednie wskaźniki i parametry dotyczące ich zagospodarowania, dostosowane do występujących uwarunkowań i przyszłych zamierzeń inwestycyjnych wynikających z ogólnej polityki gminy.</w:t>
      </w:r>
    </w:p>
    <w:p w14:paraId="2700F667" w14:textId="77777777" w:rsidR="006677C9" w:rsidRDefault="008C04CA" w:rsidP="002E61AA">
      <w:pPr>
        <w:spacing w:before="120" w:line="360" w:lineRule="auto"/>
        <w:ind w:firstLine="360"/>
        <w:jc w:val="both"/>
        <w:rPr>
          <w:rFonts w:ascii="Times New Roman" w:hAnsi="Times New Roman" w:cs="Times New Roman"/>
        </w:rPr>
      </w:pPr>
      <w:r w:rsidRPr="002E61AA">
        <w:rPr>
          <w:rFonts w:ascii="Times New Roman" w:hAnsi="Times New Roman" w:cs="Times New Roman"/>
        </w:rPr>
        <w:t>Realizacja wyznaczonych w studium kierunków polityki przestrzennej gminy będzie uzależniona przede wszystkim od lokalnych władz oraz prywatnych inwestorów</w:t>
      </w:r>
      <w:r w:rsidR="00404CD4" w:rsidRPr="002E61AA">
        <w:rPr>
          <w:rFonts w:ascii="Times New Roman" w:hAnsi="Times New Roman" w:cs="Times New Roman"/>
        </w:rPr>
        <w:t>.</w:t>
      </w:r>
      <w:r w:rsidRPr="002E61AA">
        <w:rPr>
          <w:rFonts w:ascii="Times New Roman" w:hAnsi="Times New Roman" w:cs="Times New Roman"/>
        </w:rPr>
        <w:t xml:space="preserve"> Decyzje planistyczne powinny być podejmowane racjonalnie w oparciu o </w:t>
      </w:r>
      <w:r w:rsidR="00404CD4" w:rsidRPr="002E61AA">
        <w:rPr>
          <w:rFonts w:ascii="Times New Roman" w:hAnsi="Times New Roman" w:cs="Times New Roman"/>
        </w:rPr>
        <w:t>ustalenia</w:t>
      </w:r>
      <w:r w:rsidRPr="002E61AA">
        <w:rPr>
          <w:rFonts w:ascii="Times New Roman" w:hAnsi="Times New Roman" w:cs="Times New Roman"/>
        </w:rPr>
        <w:t xml:space="preserve"> studium, z uwzględnieniem zasad zrównoważonego rozwoju i ładu przestrzennego.</w:t>
      </w:r>
      <w:r w:rsidR="006677C9" w:rsidRPr="002E61AA">
        <w:rPr>
          <w:rFonts w:ascii="Times New Roman" w:hAnsi="Times New Roman" w:cs="Times New Roman"/>
        </w:rPr>
        <w:t xml:space="preserve"> </w:t>
      </w:r>
    </w:p>
    <w:p w14:paraId="6AF99FB0" w14:textId="77777777" w:rsidR="008C04CA" w:rsidRPr="00CA4799" w:rsidRDefault="008C04CA" w:rsidP="008C04CA">
      <w:pPr>
        <w:spacing w:line="276" w:lineRule="auto"/>
        <w:ind w:firstLine="360"/>
        <w:jc w:val="both"/>
        <w:rPr>
          <w:rFonts w:cs="Arial"/>
          <w:color w:val="0070C0"/>
        </w:rPr>
      </w:pPr>
    </w:p>
    <w:p w14:paraId="05700DB7" w14:textId="77777777" w:rsidR="008C04CA" w:rsidRDefault="008C04CA" w:rsidP="008C04CA">
      <w:pPr>
        <w:spacing w:line="276" w:lineRule="auto"/>
        <w:ind w:firstLine="432"/>
        <w:jc w:val="both"/>
        <w:rPr>
          <w:rFonts w:cs="Arial"/>
          <w:lang w:eastAsia="ar-SA"/>
        </w:rPr>
      </w:pPr>
    </w:p>
    <w:p w14:paraId="36CAD2D0" w14:textId="77777777" w:rsidR="008C04CA" w:rsidRDefault="008C04CA"/>
    <w:sectPr w:rsidR="008C0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F0822"/>
    <w:multiLevelType w:val="hybridMultilevel"/>
    <w:tmpl w:val="0C0C885E"/>
    <w:lvl w:ilvl="0" w:tplc="5D226F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C4637D"/>
    <w:multiLevelType w:val="hybridMultilevel"/>
    <w:tmpl w:val="1B10A5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2434617"/>
    <w:multiLevelType w:val="hybridMultilevel"/>
    <w:tmpl w:val="34D64B10"/>
    <w:lvl w:ilvl="0" w:tplc="5D226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95C9F"/>
    <w:multiLevelType w:val="hybridMultilevel"/>
    <w:tmpl w:val="0CBCE39E"/>
    <w:lvl w:ilvl="0" w:tplc="5D226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F2BD9"/>
    <w:multiLevelType w:val="hybridMultilevel"/>
    <w:tmpl w:val="D9D2F09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71910731"/>
    <w:multiLevelType w:val="hybridMultilevel"/>
    <w:tmpl w:val="07E2AC76"/>
    <w:lvl w:ilvl="0" w:tplc="5D226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4CA"/>
    <w:rsid w:val="00023B70"/>
    <w:rsid w:val="00042F8C"/>
    <w:rsid w:val="00047BFD"/>
    <w:rsid w:val="00100027"/>
    <w:rsid w:val="001F167F"/>
    <w:rsid w:val="002E61AA"/>
    <w:rsid w:val="003A4994"/>
    <w:rsid w:val="00404CD4"/>
    <w:rsid w:val="00480299"/>
    <w:rsid w:val="005B1E6F"/>
    <w:rsid w:val="006677C9"/>
    <w:rsid w:val="00733FDC"/>
    <w:rsid w:val="00777FC6"/>
    <w:rsid w:val="007B4996"/>
    <w:rsid w:val="008912E6"/>
    <w:rsid w:val="008A0D70"/>
    <w:rsid w:val="008C04CA"/>
    <w:rsid w:val="00CE2A00"/>
    <w:rsid w:val="00FC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2DB33"/>
  <w15:chartTrackingRefBased/>
  <w15:docId w15:val="{FA9B5B6F-E294-47F5-8F7D-EC664CDF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04CA"/>
    <w:pPr>
      <w:suppressAutoHyphens/>
      <w:spacing w:after="0" w:line="360" w:lineRule="auto"/>
      <w:ind w:left="708" w:hanging="357"/>
    </w:pPr>
    <w:rPr>
      <w:rFonts w:ascii="Arial" w:eastAsia="Times New Roman" w:hAnsi="Arial" w:cs="Times New Roman"/>
      <w:szCs w:val="24"/>
      <w:lang w:eastAsia="ar-SA"/>
    </w:rPr>
  </w:style>
  <w:style w:type="character" w:styleId="Pogrubienie">
    <w:name w:val="Strong"/>
    <w:aliases w:val="Tekst treści + 9 pt,Odstępy 0 pt11"/>
    <w:basedOn w:val="Domylnaczcionkaakapitu"/>
    <w:uiPriority w:val="22"/>
    <w:qFormat/>
    <w:rsid w:val="008C04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CBEEE-FF55-40FB-9BBB-3DAC2AF97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TOPOZ PRACOWNIA</dc:creator>
  <cp:keywords/>
  <dc:description/>
  <cp:lastModifiedBy>Biuro Rady</cp:lastModifiedBy>
  <cp:revision>2</cp:revision>
  <cp:lastPrinted>2021-04-21T06:51:00Z</cp:lastPrinted>
  <dcterms:created xsi:type="dcterms:W3CDTF">2021-04-21T06:52:00Z</dcterms:created>
  <dcterms:modified xsi:type="dcterms:W3CDTF">2021-04-21T06:52:00Z</dcterms:modified>
</cp:coreProperties>
</file>